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D6755" w14:textId="77777777" w:rsidR="00A45140" w:rsidRDefault="005D6FA7">
      <w:pPr>
        <w:pStyle w:val="NoSpacing"/>
        <w:spacing w:after="120" w:line="480" w:lineRule="auto"/>
        <w:jc w:val="center"/>
      </w:pPr>
      <w:r>
        <w:rPr>
          <w:b/>
        </w:rPr>
        <w:t>AR-BIC 2026: Transformative Technologies: Paving the Way for a Brighter Future</w:t>
      </w:r>
    </w:p>
    <w:p w14:paraId="5041F97A" w14:textId="7B89E4D4" w:rsidR="00A45140" w:rsidRDefault="005D6FA7">
      <w:r>
        <w:t xml:space="preserve">The 11th annual Arkansas Bioinformatics Consortium (AR-BIC) conference was held May 18-19, 2026, at Wyndham Riverfront Little Rock in North Little Rock, Arkansas, with the </w:t>
      </w:r>
      <w:r>
        <w:t xml:space="preserve">theme, "Transformative Technologies: Paving the Way for a Brighter Future." Organized by the Arkansas Research Alliance and AR-BIC partners, the two-day program brought </w:t>
      </w:r>
      <w:r w:rsidR="00BC2B18">
        <w:t>together ~130</w:t>
      </w:r>
      <w:r>
        <w:t xml:space="preserve"> attendees from federal, academic, clinical, and industry communities to discuss emerging technologies in data science, bioinformatics, artificial intelligence (AI), toxicology, genomics, health care, education, and regulatory science. This year's agenda featured six plenary presentations, two pre-conference workshops, two breakfast roundtables, four breakout sessions, a welcome reception and poster session</w:t>
      </w:r>
      <w:r>
        <w:t>,</w:t>
      </w:r>
      <w:r>
        <w:t xml:space="preserve"> </w:t>
      </w:r>
      <w:r>
        <w:t xml:space="preserve">and award announcements </w:t>
      </w:r>
      <w:r>
        <w:t>recogn</w:t>
      </w:r>
      <w:r>
        <w:t>i</w:t>
      </w:r>
      <w:r>
        <w:t>z</w:t>
      </w:r>
      <w:r>
        <w:t>i</w:t>
      </w:r>
      <w:r>
        <w:t>n</w:t>
      </w:r>
      <w:r>
        <w:t>g</w:t>
      </w:r>
      <w:r>
        <w:t xml:space="preserve"> poster presentations in three categories: postdoctoral fellows, graduate students, and undergraduate students. Together, the sessions emphasized practical use of transformative technologies to advance public health, scientific discovery, biomedical research, education, and regulatory decision-making.</w:t>
      </w:r>
    </w:p>
    <w:p w14:paraId="0E0C8FBF" w14:textId="77777777" w:rsidR="00A45140" w:rsidRDefault="005D6FA7">
      <w:pPr>
        <w:ind w:firstLine="720"/>
      </w:pPr>
      <w:r>
        <w:t xml:space="preserve">The conference began with two pre-conference workshops led by Dr. </w:t>
      </w:r>
      <w:proofErr w:type="spellStart"/>
      <w:r>
        <w:t>Jaehyun</w:t>
      </w:r>
      <w:proofErr w:type="spellEnd"/>
      <w:r>
        <w:t xml:space="preserve"> Kim from FDA/NCTR. The first workshop, "AI for the Modern Research Workflow," explored how AI tools can support researchers throughout the research lifecycle, from literature discovery to data analysis and interpretation. Rather than focusing on isolated prompts, the workshop emphasized how to design effective research workflows using AI, including document-based analysis, iterative questioning, critical evaluation, and verification of AI-generated outputs. The second workshop, "Hands-On Practice to</w:t>
      </w:r>
      <w:r>
        <w:t xml:space="preserve"> Build Your AI-Assisted Research Workflows," gave participants guided practice with selected AI tools on realistic research tasks. Exercises focused on applying AI to literature review and data analysis, incorporating validation checkpoints, and </w:t>
      </w:r>
      <w:r>
        <w:lastRenderedPageBreak/>
        <w:t>using AI to generate simple scripts or templates that can support repetitive research activities. These workshops framed AI as a practical research accelerator while underscoring the importance of verification, transparency, and human oversight.</w:t>
      </w:r>
    </w:p>
    <w:p w14:paraId="12F33E5F" w14:textId="1A6CBB50" w:rsidR="00A45140" w:rsidRDefault="005D6FA7">
      <w:pPr>
        <w:ind w:firstLine="720"/>
      </w:pPr>
      <w:r>
        <w:t>The formal program opened on Monday afternoon with welcoming remarks from Bryan J. Barnhouse, President and CEO of the Arkansas Research Alliance, and Dr. Samantha Robinson of the University of Arkansas</w:t>
      </w:r>
      <w:r>
        <w:t>. The opening plenary session, chaired by Dr. Dongying Li from the Division of Bioinformatics and Biostatistics at FDA/NCTR, featured Dr. Tucker Patterson, Director of FDA/NCTR, who discussed "FDA's AI Programs: Challenges and Opportunities." Dr. Thomas Hartung, Chair of the Center for Alternatives to Animal Testing at the Johns Hopkins Bloomberg School of Public Health and Professor of Pharmacology and Toxicology at the University of Konstanz, followed with "From Exploratory- to Evidence-Based AI." These p</w:t>
      </w:r>
      <w:r>
        <w:t>resentations positioned AI within the broader landscape of public health, regulatory innovation, and evidence generation, highlighting the need to move from exploratory applications toward reliable, validated, and fit-for-purpose AI approaches.</w:t>
      </w:r>
    </w:p>
    <w:p w14:paraId="18AC8DE4" w14:textId="77777777" w:rsidR="00A45140" w:rsidRDefault="005D6FA7">
      <w:pPr>
        <w:ind w:firstLine="720"/>
      </w:pPr>
      <w:r>
        <w:t>The remainder of Day 1 continued with plenary presentations chaired by Dr. Mary Yang, Professor and Director of the Midsouth Bioinformatics Center at the University of Arkansas at Little Rock. Dr. Alistair Middleton of the Unilever Safety, Environmental and Regulatory Science Group presented "Accelerating the Next-Generation of Risk Assessment (NGRA) Paradigm Shift: AI-Augmented, Weight of Evidence (</w:t>
      </w:r>
      <w:proofErr w:type="spellStart"/>
      <w:r>
        <w:t>WoE</w:t>
      </w:r>
      <w:proofErr w:type="spellEnd"/>
      <w:r>
        <w:t xml:space="preserve">) Frameworks for Chemical Safety Assessment." His presentation emphasized how AI-augmented evidence integration can help advance chemical safety assessment and next-generation risk assessment. Dr. May Wang, Professor at Georgia Institute of Technology and Emory University, then presented "Healthcare in GenAI Era: Challenges and Opportunities," discussing the promise and complexity of </w:t>
      </w:r>
      <w:r>
        <w:lastRenderedPageBreak/>
        <w:t>generative AI in health care. Together, the first-day plenaries traced the reach of transformative technologies across reg</w:t>
      </w:r>
      <w:r>
        <w:t>ulatory science, toxicology modernization, health care, and chemical risk assessment.</w:t>
      </w:r>
    </w:p>
    <w:p w14:paraId="2ECC3354" w14:textId="77777777" w:rsidR="00A45140" w:rsidRDefault="005D6FA7">
      <w:pPr>
        <w:ind w:firstLine="720"/>
      </w:pPr>
      <w:r>
        <w:t>The Welcome Reception and Poster Session provided an important forum for networking and scientific exchange. The poster abstract collection included 41 poster presentations spanning computational toxicology, drug safety, pharmacovigilance, omics, microbiology, antimicrobial resistance, environmental health, agricultural bioinformatics, education, and public health. Presentations showcased a broad range of methods and applications, including machine learning for SARS-CoV-2 papain-like protease binders, gener</w:t>
      </w:r>
      <w:r>
        <w:t xml:space="preserve">ative AI approaches for study-aligned synthetic controls, drug nomenclature refinement for unstructured-data surveillance, machine learning models for placental drug transport, AI-assisted drug labeling summarization, genomic and </w:t>
      </w:r>
      <w:proofErr w:type="spellStart"/>
      <w:r>
        <w:t>pangenomic</w:t>
      </w:r>
      <w:proofErr w:type="spellEnd"/>
      <w:r>
        <w:t xml:space="preserve"> analyses of pathogens, bioinformatics approaches to environmental and reproductive toxicology, and tools for annotating clinical concepts in individual case safety reports. The poster award competition recognized trainee and early-career research excellence in postdoctor</w:t>
      </w:r>
      <w:r>
        <w:t>al, graduate student, and undergraduate student categories, reinforcing AR-BIC's commitment to supporting the next generation of scientists.</w:t>
      </w:r>
    </w:p>
    <w:p w14:paraId="6AD9ECA3" w14:textId="77777777" w:rsidR="00A45140" w:rsidRDefault="005D6FA7">
      <w:pPr>
        <w:ind w:firstLine="720"/>
      </w:pPr>
      <w:r>
        <w:t xml:space="preserve">Day 2 began with breakfast roundtables designed to support students and trainees as they plan future educational pathways. Attendees selected between two simultaneous discussions: "Getting </w:t>
      </w:r>
      <w:proofErr w:type="gramStart"/>
      <w:r>
        <w:t>Into</w:t>
      </w:r>
      <w:proofErr w:type="gramEnd"/>
      <w:r>
        <w:t xml:space="preserve"> Grad School" and "Getting Into Med School." The graduate school roundtable featured Dr. Sean Taverna, Dean of the UAMS Graduate School, and Dr. Latrina Prince, Associate Dean for Academic Affairs at UAMS. The medical school roundtable featured Dr. James Graham, Executive Associate Dean for Academic Affairs in the UAMS College of Medicine, and Amy Widner, Medical School Recruiting Director at UAMS. These discussions </w:t>
      </w:r>
      <w:r>
        <w:lastRenderedPageBreak/>
        <w:t>complemented the scientific agenda by providing practical guidance on admissions, prepar</w:t>
      </w:r>
      <w:r>
        <w:t>ation, mentoring, and career development, while giving attendees direct access to leaders in graduate and medical education.</w:t>
      </w:r>
    </w:p>
    <w:p w14:paraId="45582239" w14:textId="77777777" w:rsidR="00A45140" w:rsidRDefault="005D6FA7">
      <w:pPr>
        <w:ind w:firstLine="720"/>
      </w:pPr>
      <w:r>
        <w:t xml:space="preserve">Breakout Session 1, "Generative AI for Drug Safety and Toxicology," was co-chaired by Dr. Weida Tong and Dr. Leihong Wu from the Division of Bioinformatics and Biostatistics at FDA/NCTR. The session focused on the distinction between predictive and generative AI and examined how generative approaches can expand strategies for assessing drug safety and toxicology. Dr. Leihong Wu presented </w:t>
      </w:r>
      <w:proofErr w:type="gramStart"/>
      <w:r>
        <w:t>on</w:t>
      </w:r>
      <w:proofErr w:type="gramEnd"/>
      <w:r>
        <w:t xml:space="preserve"> adverse event classification with GenAI; Mansi Chandra discussed GenAI-assisted in vitro to in vivo extrapolation of toxicogenomics data; Dr. Xi Chen presented on the development of virtual animal models with GenAI; and Dr. Dongying Li discussed Gen-AI for predictive toxicology. The session highlighted opportunities for large language models and other generative methods to support toxicity classification, biological extrapolation, knowledge-guided prediction, and potential reduction of animal testing, wh</w:t>
      </w:r>
      <w:r>
        <w:t>ile emphasizing the continuing importance of domain expertise, transparent evaluation, and rigorous validation.</w:t>
      </w:r>
    </w:p>
    <w:p w14:paraId="6125CC08" w14:textId="77777777" w:rsidR="00A45140" w:rsidRDefault="005D6FA7">
      <w:pPr>
        <w:ind w:firstLine="720"/>
      </w:pPr>
      <w:r>
        <w:t>Breakout Session 2, "Next Generation Sequencing Approaches Across the Biological Spectrum," was co-chaired by Dr. Steven Foley from FDA/NCTR and Dr. Douglas Rhoads from the University of Arkansas. The session explored the expanding role of sequencing technologies across microbial, agricultural, and human health contexts. Dr. Christopher Nelson of the University of Arkansas discussed third-generation sequencing methods for examining CRISPR therapy safety. Dr. Douglas Rhoads addressed pangenome analyses of sp</w:t>
      </w:r>
      <w:r>
        <w:t xml:space="preserve">ecific traits of bacterial pathogens in broiler chickens and how AI could help interpret these datasets. Dr. David Ussery of Oklahoma State University discussed the democratization and portability of nanopore </w:t>
      </w:r>
      <w:r>
        <w:lastRenderedPageBreak/>
        <w:t>sequencing, and Dr. Javier Revollo of FDA/NCTR presented approaches for error-corrected NGS to assess genetic mutations. Collectively, the presentations demonstrated how modern sequencing technologies are enabling higher-resolution biological inquiry while creating new opportunities for bioinformatics,</w:t>
      </w:r>
      <w:r>
        <w:t xml:space="preserve"> public health surveillance, food safety, and translational research.</w:t>
      </w:r>
    </w:p>
    <w:p w14:paraId="02113B42" w14:textId="77777777" w:rsidR="00A45140" w:rsidRDefault="005D6FA7">
      <w:pPr>
        <w:ind w:firstLine="720"/>
      </w:pPr>
      <w:r>
        <w:t>Breakout Session 3, "AI's Impact on Teaching in the Land of Opportunity - Past, Present and Future," was co-chaired by Dr. James Roddy of the University of Arkansas and Aakash Bhattacharyya of Little Rock Central High School. Dr. David Ussery of Oklahoma State University opened with "Decoding Life: 40 Years of Teaching About Using Machine Learning in Bioinformatics," providing historical perspective on the evolution of machine learning education. Dr. Samantha Robinson then presented "The Newly Generated Cla</w:t>
      </w:r>
      <w:r>
        <w:t xml:space="preserve">ssroom: Promise, Peril, and Pragmatism in Statistics, Data Science, and Science Education," addressing the immediate implications of generative AI for teaching and learning. The session concluded with Dr. Roddy's </w:t>
      </w:r>
      <w:proofErr w:type="gramStart"/>
      <w:r>
        <w:t>moderated</w:t>
      </w:r>
      <w:proofErr w:type="gramEnd"/>
      <w:r>
        <w:t xml:space="preserve"> Q&amp;A, "What Comes Next?" The discussion emphasized that AI in education requires more than access to new tools; it requires thoughtful pedagogy, AI literacy, clear expectations, attention to academic integrity, and opportunities for authentic dialogue between educators and learners.</w:t>
      </w:r>
    </w:p>
    <w:p w14:paraId="6A1AF91D" w14:textId="77777777" w:rsidR="00A45140" w:rsidRDefault="005D6FA7">
      <w:pPr>
        <w:ind w:firstLine="720"/>
      </w:pPr>
      <w:r>
        <w:t xml:space="preserve">Breakout Session 4, "From Cells to Populations: Integrating Omics, Bioinformatics, and Novel Alternative Methods (NAMs) in Respiratory Toxicology," was chaired by Dr. </w:t>
      </w:r>
      <w:proofErr w:type="spellStart"/>
      <w:r>
        <w:t>Koustav</w:t>
      </w:r>
      <w:proofErr w:type="spellEnd"/>
      <w:r>
        <w:t xml:space="preserve"> Ganguly from the Institute for Innovative and Integrative Research (I3R) at the University of Arkansas. Dr. Prashanth Ravishankar led an interactive session exploring I3R capabilities and opportunities for academia-industry collaboration. Dr. Swapna Upadhyay discussed translating NAMs to practice through exposure systems, GLP considerations, and regulatory readiness. Dr. </w:t>
      </w:r>
      <w:r>
        <w:lastRenderedPageBreak/>
        <w:t>Ganguly presented a population-bench-population framework integrating omics, bioinformatics, and NAMs in respiratory toxicology. T</w:t>
      </w:r>
      <w:r>
        <w:t>he session highlighted the importance of connecting experimental systems with real-world human relevance and emphasized pathways for advancing human-relevant, regulatory-ready approaches in inhalation science.</w:t>
      </w:r>
    </w:p>
    <w:p w14:paraId="27D3B8D6" w14:textId="77777777" w:rsidR="00A45140" w:rsidRDefault="005D6FA7">
      <w:pPr>
        <w:ind w:firstLine="720"/>
      </w:pPr>
      <w:r>
        <w:t>The afternoon of Day 2 featured two plenary presentations chaired by Dr. Huixiao Hong, Branch Chief in the Division of Bioinformatics and Biostatistics at FDA/NCTR. Dr. Viswanath Devanarayan, Head of Data Sciences and Advanced Analytics at Bristol Myers Squibb, presented "AI-Derived Digital Twins for Clinical Trials," outlining how data science and advanced analytics may contribute to more efficient, informative, and patient-centered clinical trial strategies. Dr. Joshua Xu, Branch Chief for Research-to-Rev</w:t>
      </w:r>
      <w:r>
        <w:t>iew and Return in the Division of Bioinformatics at NCTR/FDA, presented "Integrating LLMs to Enhance Regulatory Review," focusing on how large language models may support regulatory review workflows, knowledge synthesis, and decision support. These plenaries reinforced one of the conference's central messages: emerging technologies are most powerful when they are integrated into well-defined, evidence-based workflows that support scientific judgment rather than replace it.</w:t>
      </w:r>
    </w:p>
    <w:p w14:paraId="0066B86C" w14:textId="2F526848" w:rsidR="00A45140" w:rsidRDefault="005D6FA7">
      <w:pPr>
        <w:ind w:firstLine="720"/>
      </w:pPr>
      <w:r>
        <w:t>The conference concluded with award announcements and closing remarks from Bryan Barnhouse and Dr. Dongying Li. Poster winners were recognized in postdoctoral, graduate student, and undergraduate student categories, celebrating the scientific creativity, rigor, and communication skills of trainees and early-career investigators. Across workshops, plenary presentations, roundtables, breakout sessions, and posters, the 2026 AR-BIC conference provided a timely forum for connecting transformative technologies w</w:t>
      </w:r>
      <w:r>
        <w:t>ith actionable public health and bioinformatics applications. By bringing ~130</w:t>
      </w:r>
      <w:r>
        <w:t xml:space="preserve"> attendees into a collaborative environment, the meeting strengthened AR-BIC's mission to facilitate communication and </w:t>
      </w:r>
      <w:r>
        <w:lastRenderedPageBreak/>
        <w:t xml:space="preserve">collaboration across Arkansas' data sciences and bioinformatics community. The program underscored the importance of interdisciplinary training, transparent validation, regulatory relevance, and sustained </w:t>
      </w:r>
      <w:proofErr w:type="gramStart"/>
      <w:r>
        <w:t>collaboration</w:t>
      </w:r>
      <w:proofErr w:type="gramEnd"/>
      <w:r>
        <w:t xml:space="preserve"> as AI, generative AI, sequencing, digital twins, NAMs, and omics continue to shape the future of biomedical research and regulatory science.</w:t>
      </w:r>
    </w:p>
    <w:sectPr w:rsidR="00A451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D5D08"/>
    <w:multiLevelType w:val="hybridMultilevel"/>
    <w:tmpl w:val="707EF052"/>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 w15:restartNumberingAfterBreak="0">
    <w:nsid w:val="171F37DA"/>
    <w:multiLevelType w:val="hybridMultilevel"/>
    <w:tmpl w:val="F9CE1520"/>
    <w:lvl w:ilvl="0" w:tplc="AD40259A">
      <w:numFmt w:val="bullet"/>
      <w:lvlText w:val="•"/>
      <w:lvlJc w:val="left"/>
      <w:pPr>
        <w:ind w:left="936" w:hanging="360"/>
      </w:pPr>
      <w:rPr>
        <w:rFonts w:ascii="Helvetica" w:eastAsia="Times New Roman" w:hAnsi="Helvetica"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 w15:restartNumberingAfterBreak="0">
    <w:nsid w:val="431E1E83"/>
    <w:multiLevelType w:val="hybridMultilevel"/>
    <w:tmpl w:val="7F1A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4B0CC7"/>
    <w:multiLevelType w:val="multilevel"/>
    <w:tmpl w:val="C63A3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BE3AF3"/>
    <w:multiLevelType w:val="multilevel"/>
    <w:tmpl w:val="94727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1196556">
    <w:abstractNumId w:val="3"/>
  </w:num>
  <w:num w:numId="2" w16cid:durableId="1778718330">
    <w:abstractNumId w:val="4"/>
  </w:num>
  <w:num w:numId="3" w16cid:durableId="1759015373">
    <w:abstractNumId w:val="0"/>
  </w:num>
  <w:num w:numId="4" w16cid:durableId="1761560752">
    <w:abstractNumId w:val="1"/>
  </w:num>
  <w:num w:numId="5" w16cid:durableId="20892315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238"/>
    <w:rsid w:val="000112A1"/>
    <w:rsid w:val="00013B4C"/>
    <w:rsid w:val="00047C20"/>
    <w:rsid w:val="00057183"/>
    <w:rsid w:val="00080840"/>
    <w:rsid w:val="000A6E23"/>
    <w:rsid w:val="000A752E"/>
    <w:rsid w:val="000C2E44"/>
    <w:rsid w:val="000E1C1E"/>
    <w:rsid w:val="000F164C"/>
    <w:rsid w:val="00106CF1"/>
    <w:rsid w:val="00113AE7"/>
    <w:rsid w:val="00113BEC"/>
    <w:rsid w:val="0018376A"/>
    <w:rsid w:val="00214117"/>
    <w:rsid w:val="00221E0A"/>
    <w:rsid w:val="00227C12"/>
    <w:rsid w:val="00255F9C"/>
    <w:rsid w:val="00257001"/>
    <w:rsid w:val="002D46DE"/>
    <w:rsid w:val="00317E8F"/>
    <w:rsid w:val="003350A0"/>
    <w:rsid w:val="003447C6"/>
    <w:rsid w:val="00363E5D"/>
    <w:rsid w:val="00392EE9"/>
    <w:rsid w:val="003C5F15"/>
    <w:rsid w:val="003F2092"/>
    <w:rsid w:val="00456342"/>
    <w:rsid w:val="00466767"/>
    <w:rsid w:val="0048488D"/>
    <w:rsid w:val="004A767C"/>
    <w:rsid w:val="004C0269"/>
    <w:rsid w:val="004C1557"/>
    <w:rsid w:val="004D13FF"/>
    <w:rsid w:val="005236AD"/>
    <w:rsid w:val="00544D11"/>
    <w:rsid w:val="005D6FA7"/>
    <w:rsid w:val="005F47F4"/>
    <w:rsid w:val="00601E0D"/>
    <w:rsid w:val="00643410"/>
    <w:rsid w:val="006545B9"/>
    <w:rsid w:val="006832B7"/>
    <w:rsid w:val="006C3112"/>
    <w:rsid w:val="006D232F"/>
    <w:rsid w:val="006D3238"/>
    <w:rsid w:val="006D70A8"/>
    <w:rsid w:val="00703BC7"/>
    <w:rsid w:val="00775617"/>
    <w:rsid w:val="007B0F0F"/>
    <w:rsid w:val="007B5069"/>
    <w:rsid w:val="007E1F20"/>
    <w:rsid w:val="007E50C8"/>
    <w:rsid w:val="008E52A4"/>
    <w:rsid w:val="008F0F4D"/>
    <w:rsid w:val="009079CD"/>
    <w:rsid w:val="009B2E40"/>
    <w:rsid w:val="009B3A04"/>
    <w:rsid w:val="00A40B3E"/>
    <w:rsid w:val="00A45140"/>
    <w:rsid w:val="00A71F6E"/>
    <w:rsid w:val="00A94434"/>
    <w:rsid w:val="00A971CF"/>
    <w:rsid w:val="00AD2BC9"/>
    <w:rsid w:val="00AE49D1"/>
    <w:rsid w:val="00B0796A"/>
    <w:rsid w:val="00B96D60"/>
    <w:rsid w:val="00BC2B18"/>
    <w:rsid w:val="00C65783"/>
    <w:rsid w:val="00CC1A08"/>
    <w:rsid w:val="00CC1F43"/>
    <w:rsid w:val="00CF24FE"/>
    <w:rsid w:val="00D63CDD"/>
    <w:rsid w:val="00E108CD"/>
    <w:rsid w:val="00E40B1C"/>
    <w:rsid w:val="00EE15E0"/>
    <w:rsid w:val="00F3615C"/>
    <w:rsid w:val="00F42275"/>
    <w:rsid w:val="00F46DD6"/>
    <w:rsid w:val="00F766AD"/>
    <w:rsid w:val="00F771A9"/>
    <w:rsid w:val="00FE2C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22875"/>
  <w15:chartTrackingRefBased/>
  <w15:docId w15:val="{D7D5B8F7-2EC2-4F57-896E-8323D8B60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1A9"/>
    <w:pPr>
      <w:spacing w:after="0" w:line="480" w:lineRule="auto"/>
    </w:pPr>
    <w:rPr>
      <w:rFonts w:ascii="Times New Roman" w:eastAsia="Times New Roman" w:hAnsi="Times New Roman"/>
      <w:sz w:val="24"/>
    </w:rPr>
  </w:style>
  <w:style w:type="paragraph" w:styleId="Heading4">
    <w:name w:val="heading 4"/>
    <w:basedOn w:val="Normal"/>
    <w:link w:val="Heading4Char"/>
    <w:uiPriority w:val="9"/>
    <w:qFormat/>
    <w:rsid w:val="006D3238"/>
    <w:pPr>
      <w:spacing w:before="100" w:beforeAutospacing="1" w:after="100" w:afterAutospacing="1" w:line="240" w:lineRule="auto"/>
      <w:outlineLvl w:val="3"/>
    </w:pPr>
    <w:rPr>
      <w:rFonts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D3238"/>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6D3238"/>
    <w:pPr>
      <w:spacing w:before="100" w:beforeAutospacing="1" w:after="100" w:afterAutospacing="1" w:line="240" w:lineRule="auto"/>
    </w:pPr>
    <w:rPr>
      <w:rFonts w:cs="Times New Roman"/>
      <w:szCs w:val="24"/>
    </w:rPr>
  </w:style>
  <w:style w:type="character" w:styleId="Emphasis">
    <w:name w:val="Emphasis"/>
    <w:basedOn w:val="DefaultParagraphFont"/>
    <w:uiPriority w:val="20"/>
    <w:qFormat/>
    <w:rsid w:val="006D3238"/>
    <w:rPr>
      <w:i/>
      <w:iCs/>
    </w:rPr>
  </w:style>
  <w:style w:type="character" w:styleId="Strong">
    <w:name w:val="Strong"/>
    <w:basedOn w:val="DefaultParagraphFont"/>
    <w:uiPriority w:val="22"/>
    <w:qFormat/>
    <w:rsid w:val="006D3238"/>
    <w:rPr>
      <w:b/>
      <w:bCs/>
    </w:rPr>
  </w:style>
  <w:style w:type="paragraph" w:styleId="Revision">
    <w:name w:val="Revision"/>
    <w:hidden/>
    <w:uiPriority w:val="99"/>
    <w:semiHidden/>
    <w:rsid w:val="006D3238"/>
    <w:pPr>
      <w:spacing w:after="0" w:line="240" w:lineRule="auto"/>
    </w:pPr>
  </w:style>
  <w:style w:type="character" w:styleId="CommentReference">
    <w:name w:val="annotation reference"/>
    <w:basedOn w:val="DefaultParagraphFont"/>
    <w:uiPriority w:val="99"/>
    <w:semiHidden/>
    <w:unhideWhenUsed/>
    <w:rsid w:val="009B2E40"/>
    <w:rPr>
      <w:sz w:val="16"/>
      <w:szCs w:val="16"/>
    </w:rPr>
  </w:style>
  <w:style w:type="paragraph" w:styleId="CommentText">
    <w:name w:val="annotation text"/>
    <w:basedOn w:val="Normal"/>
    <w:link w:val="CommentTextChar"/>
    <w:uiPriority w:val="99"/>
    <w:unhideWhenUsed/>
    <w:rsid w:val="009B2E40"/>
    <w:pPr>
      <w:spacing w:line="240" w:lineRule="auto"/>
    </w:pPr>
    <w:rPr>
      <w:sz w:val="20"/>
      <w:szCs w:val="20"/>
    </w:rPr>
  </w:style>
  <w:style w:type="character" w:customStyle="1" w:styleId="CommentTextChar">
    <w:name w:val="Comment Text Char"/>
    <w:basedOn w:val="DefaultParagraphFont"/>
    <w:link w:val="CommentText"/>
    <w:uiPriority w:val="99"/>
    <w:rsid w:val="009B2E40"/>
    <w:rPr>
      <w:sz w:val="20"/>
      <w:szCs w:val="20"/>
    </w:rPr>
  </w:style>
  <w:style w:type="paragraph" w:styleId="CommentSubject">
    <w:name w:val="annotation subject"/>
    <w:basedOn w:val="CommentText"/>
    <w:next w:val="CommentText"/>
    <w:link w:val="CommentSubjectChar"/>
    <w:uiPriority w:val="99"/>
    <w:semiHidden/>
    <w:unhideWhenUsed/>
    <w:rsid w:val="009B2E40"/>
    <w:rPr>
      <w:b/>
      <w:bCs/>
    </w:rPr>
  </w:style>
  <w:style w:type="character" w:customStyle="1" w:styleId="CommentSubjectChar">
    <w:name w:val="Comment Subject Char"/>
    <w:basedOn w:val="CommentTextChar"/>
    <w:link w:val="CommentSubject"/>
    <w:uiPriority w:val="99"/>
    <w:semiHidden/>
    <w:rsid w:val="009B2E40"/>
    <w:rPr>
      <w:b/>
      <w:bCs/>
      <w:sz w:val="20"/>
      <w:szCs w:val="20"/>
    </w:rPr>
  </w:style>
  <w:style w:type="character" w:styleId="Hyperlink">
    <w:name w:val="Hyperlink"/>
    <w:basedOn w:val="DefaultParagraphFont"/>
    <w:uiPriority w:val="99"/>
    <w:unhideWhenUsed/>
    <w:rsid w:val="00F42275"/>
    <w:rPr>
      <w:color w:val="0563C1" w:themeColor="hyperlink"/>
      <w:u w:val="single"/>
    </w:rPr>
  </w:style>
  <w:style w:type="character" w:styleId="UnresolvedMention">
    <w:name w:val="Unresolved Mention"/>
    <w:basedOn w:val="DefaultParagraphFont"/>
    <w:uiPriority w:val="99"/>
    <w:semiHidden/>
    <w:unhideWhenUsed/>
    <w:rsid w:val="00F42275"/>
    <w:rPr>
      <w:color w:val="605E5C"/>
      <w:shd w:val="clear" w:color="auto" w:fill="E1DFDD"/>
    </w:rPr>
  </w:style>
  <w:style w:type="paragraph" w:styleId="ListParagraph">
    <w:name w:val="List Paragraph"/>
    <w:basedOn w:val="Normal"/>
    <w:uiPriority w:val="34"/>
    <w:qFormat/>
    <w:rsid w:val="00F42275"/>
    <w:pPr>
      <w:ind w:left="720"/>
      <w:contextualSpacing/>
    </w:pPr>
  </w:style>
  <w:style w:type="character" w:styleId="FollowedHyperlink">
    <w:name w:val="FollowedHyperlink"/>
    <w:basedOn w:val="DefaultParagraphFont"/>
    <w:uiPriority w:val="99"/>
    <w:semiHidden/>
    <w:unhideWhenUsed/>
    <w:rsid w:val="00A94434"/>
    <w:rPr>
      <w:color w:val="954F72" w:themeColor="followedHyperlink"/>
      <w:u w:val="single"/>
    </w:rPr>
  </w:style>
  <w:style w:type="table" w:styleId="TableGrid">
    <w:name w:val="Table Grid"/>
    <w:basedOn w:val="TableNormal"/>
    <w:uiPriority w:val="39"/>
    <w:rsid w:val="00703B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63CDD"/>
    <w:pPr>
      <w:spacing w:after="0" w:line="240" w:lineRule="auto"/>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40023">
      <w:bodyDiv w:val="1"/>
      <w:marLeft w:val="0"/>
      <w:marRight w:val="0"/>
      <w:marTop w:val="0"/>
      <w:marBottom w:val="0"/>
      <w:divBdr>
        <w:top w:val="none" w:sz="0" w:space="0" w:color="auto"/>
        <w:left w:val="none" w:sz="0" w:space="0" w:color="auto"/>
        <w:bottom w:val="none" w:sz="0" w:space="0" w:color="auto"/>
        <w:right w:val="none" w:sz="0" w:space="0" w:color="auto"/>
      </w:divBdr>
    </w:div>
    <w:div w:id="995232398">
      <w:bodyDiv w:val="1"/>
      <w:marLeft w:val="0"/>
      <w:marRight w:val="0"/>
      <w:marTop w:val="0"/>
      <w:marBottom w:val="0"/>
      <w:divBdr>
        <w:top w:val="none" w:sz="0" w:space="0" w:color="auto"/>
        <w:left w:val="none" w:sz="0" w:space="0" w:color="auto"/>
        <w:bottom w:val="none" w:sz="0" w:space="0" w:color="auto"/>
        <w:right w:val="none" w:sz="0" w:space="0" w:color="auto"/>
      </w:divBdr>
      <w:divsChild>
        <w:div w:id="1127117740">
          <w:marLeft w:val="274"/>
          <w:marRight w:val="0"/>
          <w:marTop w:val="0"/>
          <w:marBottom w:val="0"/>
          <w:divBdr>
            <w:top w:val="none" w:sz="0" w:space="0" w:color="auto"/>
            <w:left w:val="none" w:sz="0" w:space="0" w:color="auto"/>
            <w:bottom w:val="none" w:sz="0" w:space="0" w:color="auto"/>
            <w:right w:val="none" w:sz="0" w:space="0" w:color="auto"/>
          </w:divBdr>
        </w:div>
      </w:divsChild>
    </w:div>
    <w:div w:id="211570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7</Pages>
  <Words>1832</Words>
  <Characters>10447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AR-BIC 2026: Transformative Technologies: Paving the Way for a Brighter Future</dc:title>
  <dc:subject>Proceedings report for the 11th annual Arkansas Bioinformatics Consortium conference</dc:subject>
  <dc:creator>Vyas, Tonya J</dc:creator>
  <cp:keywords>AR-BIC, bioinformatics, AI, proceedings, 2026</cp:keywords>
  <dc:description>Prepared from the 2026 AR-BIC conference agenda, poster abstract PDF, user-provided attendance, and prior AR-BIC 2024 proceedings style template.</dc:description>
  <cp:lastModifiedBy>Li, Dongying</cp:lastModifiedBy>
  <cp:revision>38</cp:revision>
  <dcterms:created xsi:type="dcterms:W3CDTF">2024-03-22T19:08:00Z</dcterms:created>
  <dcterms:modified xsi:type="dcterms:W3CDTF">2026-06-30T15:44:00Z</dcterms:modified>
</cp:coreProperties>
</file>